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19B" w:rsidRDefault="00102B39" w:rsidP="00AA319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AA319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AA319B" w:rsidRDefault="00AA319B" w:rsidP="00AA319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AA319B" w:rsidRDefault="00AA319B" w:rsidP="00AA319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AA319B" w:rsidRDefault="00AA319B" w:rsidP="00AA319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AA319B" w:rsidRDefault="00AA319B" w:rsidP="00AA319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102B3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AA319B" w:rsidRDefault="00AA319B" w:rsidP="00AA319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AA319B" w:rsidRDefault="00AA319B" w:rsidP="00AA319B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AA319B" w:rsidRDefault="00AA319B" w:rsidP="00AA319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AA319B" w:rsidRDefault="00AA319B" w:rsidP="00AA319B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tbl>
      <w:tblPr>
        <w:tblW w:w="10207" w:type="dxa"/>
        <w:jc w:val="right"/>
        <w:tblLook w:val="04A0" w:firstRow="1" w:lastRow="0" w:firstColumn="1" w:lastColumn="0" w:noHBand="0" w:noVBand="1"/>
      </w:tblPr>
      <w:tblGrid>
        <w:gridCol w:w="10207"/>
      </w:tblGrid>
      <w:tr w:rsidR="00AA319B" w:rsidRPr="00102B39" w:rsidTr="00AA319B">
        <w:trPr>
          <w:jc w:val="righ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10143" w:type="dxa"/>
              <w:jc w:val="center"/>
              <w:tblLook w:val="04A0" w:firstRow="1" w:lastRow="0" w:firstColumn="1" w:lastColumn="0" w:noHBand="0" w:noVBand="1"/>
            </w:tblPr>
            <w:tblGrid>
              <w:gridCol w:w="10143"/>
            </w:tblGrid>
            <w:tr w:rsidR="00AA319B" w:rsidTr="00AA319B">
              <w:trPr>
                <w:trHeight w:val="65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A319B" w:rsidRDefault="00AA319B">
                  <w:pPr>
                    <w:tabs>
                      <w:tab w:val="left" w:pos="590"/>
                    </w:tabs>
                    <w:spacing w:after="0" w:line="240" w:lineRule="auto"/>
                    <w:ind w:firstLine="576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AA319B">
              <w:trPr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A319B" w:rsidRDefault="00AA319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val="ru-RU" w:eastAsia="ru-RU"/>
                    </w:rPr>
                  </w:pPr>
                </w:p>
              </w:tc>
            </w:tr>
            <w:tr w:rsidR="00AA319B" w:rsidRPr="00102B39">
              <w:trPr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A319B" w:rsidRDefault="00AA319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 xml:space="preserve">               </w:t>
                  </w:r>
                  <w:proofErr w:type="gramStart"/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Прошу принять  решение  о разрешении отчуждения одноквартирного жилого дома, квартиры в многоквартирном или блокированном жилом доме (далее в настоящем подпункте, подпунктах </w:t>
                  </w:r>
                  <w:hyperlink r:id="rId8" w:anchor="a1317" w:tooltip="+" w:history="1">
                    <w:r>
                      <w:rPr>
                        <w:rStyle w:val="a4"/>
                        <w:rFonts w:ascii="Times New Roman" w:eastAsia="Times New Roman" w:hAnsi="Times New Roman"/>
                        <w:bCs/>
                        <w:sz w:val="28"/>
                        <w:szCs w:val="28"/>
                        <w:lang w:val="ru-RU" w:eastAsia="ru-RU"/>
                      </w:rPr>
                      <w:t>1.1.2</w:t>
                    </w:r>
                    <w:r>
                      <w:rPr>
                        <w:rStyle w:val="a4"/>
                        <w:rFonts w:ascii="Times New Roman" w:eastAsia="Times New Roman" w:hAnsi="Times New Roman"/>
                        <w:bCs/>
                        <w:sz w:val="28"/>
                        <w:szCs w:val="28"/>
                        <w:vertAlign w:val="superscript"/>
                        <w:lang w:val="ru-RU" w:eastAsia="ru-RU"/>
                      </w:rPr>
                      <w:t>2</w:t>
                    </w:r>
                  </w:hyperlink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, </w:t>
                  </w:r>
                  <w:hyperlink r:id="rId9" w:anchor="a1326" w:tooltip="+" w:history="1">
                    <w:r>
                      <w:rPr>
                        <w:rStyle w:val="a4"/>
                        <w:rFonts w:ascii="Times New Roman" w:eastAsia="Times New Roman" w:hAnsi="Times New Roman"/>
                        <w:bCs/>
                        <w:sz w:val="28"/>
                        <w:szCs w:val="28"/>
                        <w:lang w:val="ru-RU" w:eastAsia="ru-RU"/>
                      </w:rPr>
                      <w:t>1.1.28</w:t>
                    </w:r>
                  </w:hyperlink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, </w:t>
                  </w:r>
                  <w:hyperlink r:id="rId10" w:anchor="a998" w:tooltip="+" w:history="1">
                    <w:r>
                      <w:rPr>
                        <w:rStyle w:val="a4"/>
                        <w:rFonts w:ascii="Times New Roman" w:eastAsia="Times New Roman" w:hAnsi="Times New Roman"/>
                        <w:bCs/>
                        <w:sz w:val="28"/>
                        <w:szCs w:val="28"/>
                        <w:lang w:val="ru-RU" w:eastAsia="ru-RU"/>
                      </w:rPr>
                      <w:t>1.1.31</w:t>
                    </w:r>
                  </w:hyperlink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 и 1.1.32 настоящего пункта, пунктах </w:t>
                  </w:r>
                  <w:hyperlink r:id="rId11" w:anchor="a895" w:tooltip="+" w:history="1">
                    <w:r>
                      <w:rPr>
                        <w:rStyle w:val="a4"/>
                        <w:rFonts w:ascii="Times New Roman" w:eastAsia="Times New Roman" w:hAnsi="Times New Roman"/>
                        <w:bCs/>
                        <w:sz w:val="28"/>
                        <w:szCs w:val="28"/>
                        <w:lang w:val="ru-RU" w:eastAsia="ru-RU"/>
                      </w:rPr>
                      <w:t>1.6</w:t>
                    </w:r>
                  </w:hyperlink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 и 1.6</w:t>
                  </w: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vertAlign w:val="superscript"/>
                      <w:lang w:val="ru-RU"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, </w:t>
                  </w:r>
                  <w:hyperlink r:id="rId12" w:anchor="a1349" w:tooltip="+" w:history="1">
                    <w:r>
                      <w:rPr>
                        <w:rStyle w:val="a4"/>
                        <w:rFonts w:ascii="Times New Roman" w:eastAsia="Times New Roman" w:hAnsi="Times New Roman"/>
                        <w:bCs/>
                        <w:sz w:val="28"/>
                        <w:szCs w:val="28"/>
                        <w:lang w:val="ru-RU" w:eastAsia="ru-RU"/>
                      </w:rPr>
                      <w:t>подпункте 2.47.1</w:t>
                    </w:r>
                  </w:hyperlink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 пункта 2.47 настоящего перечня – жилое помещение), а также объекта недвижимости, образованного в результате его раздела или слияния, незавершенного законсервированного капитального строения, долей в праве собственности на</w:t>
                  </w:r>
                  <w:proofErr w:type="gramEnd"/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указанные объекты, построенные (реконструированные) или приобретенные с использованием льготного кредита либо построенные (реконструированные) с использованием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их строительство (реконструкцию) в установленном порядке (купля-продажа, дарение, мена либо иная сделка об отчуждении в течение пяти лет</w:t>
                  </w:r>
                  <w:proofErr w:type="gramEnd"/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со дня досрочного погашения этих кредитов, но не более периода, оставшегося до наступления срока их полного погашения, установленного кредитными договорами, либо дарение или мена до погашения этих кредитов), в случаях, когда необходимость получения такого разрешения предусмотрена законодательными актами, регулирующими вопросы предоставления гражданам государственной поддержки при строительстве (реконструкции) или приобретении жилых помещений по адресу:</w:t>
                  </w:r>
                  <w:proofErr w:type="gramEnd"/>
                </w:p>
                <w:p w:rsidR="00AA319B" w:rsidRDefault="00AA31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 xml:space="preserve">               Прошу приобрести или отказать в приобретении жилого помещения расположенного по адресу: </w:t>
                  </w:r>
                  <w:proofErr w:type="spellStart"/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sz w:val="28"/>
                      <w:szCs w:val="28"/>
                      <w:lang w:val="ru-RU" w:eastAsia="ru-RU"/>
                    </w:rPr>
                    <w:t>г</w:t>
                  </w:r>
                  <w:proofErr w:type="gramStart"/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sz w:val="28"/>
                      <w:szCs w:val="28"/>
                      <w:lang w:val="ru-RU" w:eastAsia="ru-RU"/>
                    </w:rPr>
                    <w:t>.</w:t>
                  </w:r>
                  <w:r w:rsidR="00102B39">
                    <w:rPr>
                      <w:rFonts w:ascii="Times New Roman" w:eastAsia="Times New Roman" w:hAnsi="Times New Roman"/>
                      <w:b/>
                      <w:bCs/>
                      <w:i/>
                      <w:sz w:val="28"/>
                      <w:szCs w:val="28"/>
                      <w:lang w:val="ru-RU" w:eastAsia="ru-RU"/>
                    </w:rPr>
                    <w:t>В</w:t>
                  </w:r>
                  <w:proofErr w:type="gramEnd"/>
                  <w:r w:rsidR="00102B39">
                    <w:rPr>
                      <w:rFonts w:ascii="Times New Roman" w:eastAsia="Times New Roman" w:hAnsi="Times New Roman"/>
                      <w:b/>
                      <w:bCs/>
                      <w:i/>
                      <w:sz w:val="28"/>
                      <w:szCs w:val="28"/>
                      <w:lang w:val="ru-RU" w:eastAsia="ru-RU"/>
                    </w:rPr>
                    <w:t>олковыск</w:t>
                  </w:r>
                  <w:bookmarkStart w:id="0" w:name="_GoBack"/>
                  <w:bookmarkEnd w:id="0"/>
                  <w:proofErr w:type="spellEnd"/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sz w:val="28"/>
                      <w:szCs w:val="28"/>
                      <w:lang w:val="ru-RU" w:eastAsia="ru-RU"/>
                    </w:rPr>
                    <w:t>, ул. Карского, д. 50, кв.25</w:t>
                  </w: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 xml:space="preserve"> </w:t>
                  </w:r>
                </w:p>
                <w:p w:rsidR="00AA319B" w:rsidRDefault="00AA31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 xml:space="preserve">стоимостью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sz w:val="28"/>
                      <w:szCs w:val="28"/>
                      <w:lang w:val="ru-RU" w:eastAsia="ru-RU"/>
                    </w:rPr>
                    <w:t>600000</w:t>
                  </w: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AA319B">
                    <w:rPr>
                      <w:rFonts w:ascii="Times New Roman" w:eastAsia="Times New Roman" w:hAnsi="Times New Roman"/>
                      <w:b/>
                      <w:bCs/>
                      <w:i/>
                      <w:sz w:val="28"/>
                      <w:szCs w:val="28"/>
                      <w:lang w:val="ru-RU" w:eastAsia="ru-RU"/>
                    </w:rPr>
                    <w:t>бел</w:t>
                  </w:r>
                  <w:proofErr w:type="gramStart"/>
                  <w:r w:rsidRPr="00AA319B">
                    <w:rPr>
                      <w:rFonts w:ascii="Times New Roman" w:eastAsia="Times New Roman" w:hAnsi="Times New Roman"/>
                      <w:b/>
                      <w:bCs/>
                      <w:i/>
                      <w:sz w:val="28"/>
                      <w:szCs w:val="28"/>
                      <w:lang w:val="ru-RU" w:eastAsia="ru-RU"/>
                    </w:rPr>
                    <w:t>.</w:t>
                  </w:r>
                  <w:proofErr w:type="gramEnd"/>
                  <w:r w:rsidRPr="00AA319B">
                    <w:rPr>
                      <w:rFonts w:ascii="Times New Roman" w:eastAsia="Times New Roman" w:hAnsi="Times New Roman"/>
                      <w:b/>
                      <w:bCs/>
                      <w:i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gramStart"/>
                  <w:r w:rsidRPr="00AA319B">
                    <w:rPr>
                      <w:rFonts w:ascii="Times New Roman" w:eastAsia="Times New Roman" w:hAnsi="Times New Roman"/>
                      <w:b/>
                      <w:bCs/>
                      <w:i/>
                      <w:sz w:val="28"/>
                      <w:szCs w:val="28"/>
                      <w:lang w:val="ru-RU" w:eastAsia="ru-RU"/>
                    </w:rPr>
                    <w:t>р</w:t>
                  </w:r>
                  <w:proofErr w:type="gramEnd"/>
                  <w:r w:rsidRPr="00AA319B">
                    <w:rPr>
                      <w:rFonts w:ascii="Times New Roman" w:eastAsia="Times New Roman" w:hAnsi="Times New Roman"/>
                      <w:b/>
                      <w:bCs/>
                      <w:i/>
                      <w:sz w:val="28"/>
                      <w:szCs w:val="28"/>
                      <w:lang w:val="ru-RU" w:eastAsia="ru-RU"/>
                    </w:rPr>
                    <w:t>уб</w:t>
                  </w: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.___________________________________________</w:t>
                  </w:r>
                </w:p>
                <w:p w:rsidR="00AA319B" w:rsidRDefault="00AA319B">
                  <w:pPr>
                    <w:spacing w:after="0" w:line="240" w:lineRule="auto"/>
                    <w:jc w:val="both"/>
                    <w:rPr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построенного с использованием льготного кредита</w:t>
                  </w:r>
                  <w:r>
                    <w:rPr>
                      <w:lang w:val="ru-RU"/>
                    </w:rPr>
                    <w:t xml:space="preserve"> </w:t>
                  </w:r>
                </w:p>
                <w:p w:rsidR="00AA319B" w:rsidRDefault="00AA31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 xml:space="preserve">В связи с (указать причину)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i/>
                      <w:sz w:val="28"/>
                      <w:szCs w:val="28"/>
                      <w:lang w:val="ru-RU" w:eastAsia="ru-RU"/>
                    </w:rPr>
                    <w:t>с расторжением брака</w:t>
                  </w: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 xml:space="preserve"> </w:t>
                  </w:r>
                </w:p>
                <w:p w:rsidR="00AA319B" w:rsidRDefault="00AA319B" w:rsidP="00AA319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highlight w:val="yellow"/>
                      <w:lang w:val="ru-RU" w:eastAsia="ru-RU"/>
                    </w:rPr>
                  </w:pPr>
                </w:p>
              </w:tc>
            </w:tr>
          </w:tbl>
          <w:p w:rsidR="00AA319B" w:rsidRDefault="00AA31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p w:rsidR="00AA319B" w:rsidRDefault="00AA319B" w:rsidP="00AA31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Дата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AA319B" w:rsidRDefault="00AA319B" w:rsidP="00AA319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AA319B" w:rsidRDefault="00AA319B" w:rsidP="00AA319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</w:t>
      </w:r>
    </w:p>
    <w:p w:rsidR="00AA319B" w:rsidRDefault="00AA319B" w:rsidP="00AA319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пр. 1.1.2                                                                                                                    </w:t>
      </w:r>
    </w:p>
    <w:p w:rsidR="00CC4BC7" w:rsidRPr="00390FCE" w:rsidRDefault="00CC4BC7" w:rsidP="00390FCE"/>
    <w:sectPr w:rsidR="00CC4BC7" w:rsidRPr="00390FC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336" w:rsidRDefault="002A1336" w:rsidP="009339DB">
      <w:pPr>
        <w:spacing w:after="0" w:line="240" w:lineRule="auto"/>
      </w:pPr>
      <w:r>
        <w:separator/>
      </w:r>
    </w:p>
  </w:endnote>
  <w:endnote w:type="continuationSeparator" w:id="0">
    <w:p w:rsidR="002A1336" w:rsidRDefault="002A1336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336" w:rsidRDefault="002A1336" w:rsidP="009339DB">
      <w:pPr>
        <w:spacing w:after="0" w:line="240" w:lineRule="auto"/>
      </w:pPr>
      <w:r>
        <w:separator/>
      </w:r>
    </w:p>
  </w:footnote>
  <w:footnote w:type="continuationSeparator" w:id="0">
    <w:p w:rsidR="002A1336" w:rsidRDefault="002A1336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154CBA"/>
    <w:multiLevelType w:val="hybridMultilevel"/>
    <w:tmpl w:val="85A813DA"/>
    <w:lvl w:ilvl="0" w:tplc="DF822776">
      <w:start w:val="1"/>
      <w:numFmt w:val="bullet"/>
      <w:lvlText w:val=""/>
      <w:lvlJc w:val="left"/>
      <w:pPr>
        <w:ind w:left="14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7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02B39"/>
    <w:rsid w:val="00131D7C"/>
    <w:rsid w:val="001645A7"/>
    <w:rsid w:val="00166712"/>
    <w:rsid w:val="002476D0"/>
    <w:rsid w:val="002A1336"/>
    <w:rsid w:val="00390FCE"/>
    <w:rsid w:val="00593E60"/>
    <w:rsid w:val="00616F1E"/>
    <w:rsid w:val="006A62AC"/>
    <w:rsid w:val="006C4AC0"/>
    <w:rsid w:val="007D55CC"/>
    <w:rsid w:val="009339DB"/>
    <w:rsid w:val="00AA319B"/>
    <w:rsid w:val="00B3508C"/>
    <w:rsid w:val="00B8259E"/>
    <w:rsid w:val="00C03F1C"/>
    <w:rsid w:val="00CC4BC7"/>
    <w:rsid w:val="00D57B19"/>
    <w:rsid w:val="00E007DE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19B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AA3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31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19B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AA3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31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tx.dll?d=186610&amp;f=200" TargetMode="External"/><Relationship Id="rId13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ii.by/tx.dll?d=186610&amp;f=2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i.by/tx.dll?d=186610&amp;f=20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i.by/tx.dll?d=186610&amp;f=2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i.by/tx.dll?d=186610&amp;f=2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2025-04-22T06:22:00Z</dcterms:created>
  <dcterms:modified xsi:type="dcterms:W3CDTF">2025-04-22T06:22:00Z</dcterms:modified>
</cp:coreProperties>
</file>